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73E04" w:rsidRDefault="00173E04" w:rsidP="00173E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The guideline for Individual students’ works.</w:t>
      </w:r>
    </w:p>
    <w:p w:rsidR="00173E04" w:rsidRPr="00173E04" w:rsidRDefault="00173E04" w:rsidP="00173E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IWS</w:t>
      </w:r>
      <w:r w:rsidRPr="00173E0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1: Essay 1 — Urbanization and Digital Economies (Comparative)</w:t>
      </w:r>
    </w:p>
    <w:p w:rsidR="00173E04" w:rsidRPr="00173E04" w:rsidRDefault="00173E04" w:rsidP="00173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Deadline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>: Week 5</w:t>
      </w:r>
    </w:p>
    <w:p w:rsidR="00173E04" w:rsidRPr="00173E04" w:rsidRDefault="00173E04" w:rsidP="00173E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73E04">
        <w:rPr>
          <w:rFonts w:ascii="Times New Roman" w:eastAsia="Times New Roman" w:hAnsi="Times New Roman" w:cs="Times New Roman"/>
          <w:b/>
          <w:bCs/>
          <w:sz w:val="27"/>
          <w:szCs w:val="27"/>
        </w:rPr>
        <w:t>Task Description</w:t>
      </w:r>
    </w:p>
    <w:p w:rsidR="00173E04" w:rsidRPr="00173E04" w:rsidRDefault="00173E04" w:rsidP="00173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Write a </w:t>
      </w: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comparative academic essay (2000–2500 words)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 analyzing how urbanization interacts with the development of digital economies in two countries of your choice (one must be from the Global South, the other may be OECD).</w:t>
      </w:r>
    </w:p>
    <w:p w:rsidR="00173E04" w:rsidRPr="00173E04" w:rsidRDefault="00173E04" w:rsidP="00173E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Research Question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>: How does urbanization shape the growth of digital economies, and what are the socio-economic implications (employment, inequality, innovation, sustainability)?</w:t>
      </w:r>
    </w:p>
    <w:p w:rsidR="00173E04" w:rsidRPr="00173E04" w:rsidRDefault="00173E04" w:rsidP="00173E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Use </w:t>
      </w: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statistical data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 (World Bank, UN-Habitat, ITU).</w:t>
      </w:r>
    </w:p>
    <w:p w:rsidR="00173E04" w:rsidRPr="00173E04" w:rsidRDefault="00173E04" w:rsidP="00173E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Apply </w:t>
      </w: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theoretical frameworks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>: modernization theory, world-systems theory, urban political economy.</w:t>
      </w:r>
    </w:p>
    <w:p w:rsidR="00173E04" w:rsidRPr="00173E04" w:rsidRDefault="00173E04" w:rsidP="00173E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Provide </w:t>
      </w: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case study evidence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 (e.g., Almaty vs. Seoul, Lagos vs. Bangalore, Astana vs. Tallinn).</w:t>
      </w:r>
    </w:p>
    <w:p w:rsidR="00173E04" w:rsidRPr="00173E04" w:rsidRDefault="00173E04" w:rsidP="00173E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73E04">
        <w:rPr>
          <w:rFonts w:ascii="Times New Roman" w:eastAsia="Times New Roman" w:hAnsi="Times New Roman" w:cs="Times New Roman"/>
          <w:b/>
          <w:bCs/>
          <w:sz w:val="27"/>
          <w:szCs w:val="27"/>
        </w:rPr>
        <w:t>Structure</w:t>
      </w:r>
    </w:p>
    <w:p w:rsidR="00173E04" w:rsidRPr="00173E04" w:rsidRDefault="00173E04" w:rsidP="00173E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Introduction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 (research problem, comparative approach, structure of essay).</w:t>
      </w:r>
    </w:p>
    <w:p w:rsidR="00173E04" w:rsidRPr="00173E04" w:rsidRDefault="00173E04" w:rsidP="00173E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Theoretical Framework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 (urbanization + digital economy).</w:t>
      </w:r>
    </w:p>
    <w:p w:rsidR="00173E04" w:rsidRPr="00173E04" w:rsidRDefault="00173E04" w:rsidP="00173E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Case Study 1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 (country A).</w:t>
      </w:r>
    </w:p>
    <w:p w:rsidR="00173E04" w:rsidRPr="00173E04" w:rsidRDefault="00173E04" w:rsidP="00173E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Case Study 2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 (country B).</w:t>
      </w:r>
    </w:p>
    <w:p w:rsidR="00173E04" w:rsidRPr="00173E04" w:rsidRDefault="00173E04" w:rsidP="00173E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Comparative Discussion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 (similarities, differences, policy implications).</w:t>
      </w:r>
    </w:p>
    <w:p w:rsidR="00173E04" w:rsidRPr="00173E04" w:rsidRDefault="00173E04" w:rsidP="00173E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Conclusion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 (summary, reflections, future research).</w:t>
      </w:r>
    </w:p>
    <w:p w:rsidR="00173E04" w:rsidRPr="00173E04" w:rsidRDefault="00173E04" w:rsidP="00173E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73E04">
        <w:rPr>
          <w:rFonts w:ascii="Times New Roman" w:eastAsia="Times New Roman" w:hAnsi="Times New Roman" w:cs="Times New Roman"/>
          <w:b/>
          <w:bCs/>
          <w:sz w:val="27"/>
          <w:szCs w:val="27"/>
        </w:rPr>
        <w:t>Assessment Criteria</w:t>
      </w:r>
    </w:p>
    <w:p w:rsidR="00173E04" w:rsidRPr="00173E04" w:rsidRDefault="00173E04" w:rsidP="00173E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>Depth of theoretical understanding.</w:t>
      </w:r>
    </w:p>
    <w:p w:rsidR="00173E04" w:rsidRPr="00173E04" w:rsidRDefault="00173E04" w:rsidP="00173E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>Use of comparative data and case studies.</w:t>
      </w:r>
    </w:p>
    <w:p w:rsidR="00173E04" w:rsidRPr="00173E04" w:rsidRDefault="00173E04" w:rsidP="00173E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>Critical thinking and originality.</w:t>
      </w:r>
    </w:p>
    <w:p w:rsidR="00173E04" w:rsidRPr="00173E04" w:rsidRDefault="00173E04" w:rsidP="00173E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>Clarity and academic writing style.</w:t>
      </w:r>
    </w:p>
    <w:p w:rsidR="00173E04" w:rsidRPr="00173E04" w:rsidRDefault="00173E04" w:rsidP="00173E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73E04">
        <w:rPr>
          <w:rFonts w:ascii="Times New Roman" w:eastAsia="Times New Roman" w:hAnsi="Times New Roman" w:cs="Times New Roman"/>
          <w:b/>
          <w:bCs/>
          <w:sz w:val="27"/>
          <w:szCs w:val="27"/>
        </w:rPr>
        <w:t>Recommended Readings</w:t>
      </w:r>
    </w:p>
    <w:p w:rsidR="00173E04" w:rsidRPr="00173E04" w:rsidRDefault="00173E04" w:rsidP="00173E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Castells, M. (2010). </w:t>
      </w:r>
      <w:r w:rsidRPr="00173E04">
        <w:rPr>
          <w:rFonts w:ascii="Times New Roman" w:eastAsia="Times New Roman" w:hAnsi="Times New Roman" w:cs="Times New Roman"/>
          <w:i/>
          <w:iCs/>
          <w:sz w:val="24"/>
          <w:szCs w:val="24"/>
        </w:rPr>
        <w:t>The Rise of the Network Society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>. Wiley-Blackwell.</w:t>
      </w:r>
    </w:p>
    <w:p w:rsidR="00173E04" w:rsidRPr="00173E04" w:rsidRDefault="00173E04" w:rsidP="00173E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UN-Habitat (2022). </w:t>
      </w:r>
      <w:r w:rsidRPr="00173E04">
        <w:rPr>
          <w:rFonts w:ascii="Times New Roman" w:eastAsia="Times New Roman" w:hAnsi="Times New Roman" w:cs="Times New Roman"/>
          <w:i/>
          <w:iCs/>
          <w:sz w:val="24"/>
          <w:szCs w:val="24"/>
        </w:rPr>
        <w:t>World Cities Report 2022: Envisaging the Future of Cities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3E04" w:rsidRPr="00173E04" w:rsidRDefault="00173E04" w:rsidP="00173E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Sassen, S. (2018). </w:t>
      </w:r>
      <w:r w:rsidRPr="00173E04">
        <w:rPr>
          <w:rFonts w:ascii="Times New Roman" w:eastAsia="Times New Roman" w:hAnsi="Times New Roman" w:cs="Times New Roman"/>
          <w:i/>
          <w:iCs/>
          <w:sz w:val="24"/>
          <w:szCs w:val="24"/>
        </w:rPr>
        <w:t>Cities in a World Economy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>. Sage.</w:t>
      </w:r>
    </w:p>
    <w:p w:rsidR="00173E04" w:rsidRPr="00173E04" w:rsidRDefault="00173E04" w:rsidP="00173E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Graham, M., &amp; Dutton, W. (2019). </w:t>
      </w:r>
      <w:r w:rsidRPr="00173E04">
        <w:rPr>
          <w:rFonts w:ascii="Times New Roman" w:eastAsia="Times New Roman" w:hAnsi="Times New Roman" w:cs="Times New Roman"/>
          <w:i/>
          <w:iCs/>
          <w:sz w:val="24"/>
          <w:szCs w:val="24"/>
        </w:rPr>
        <w:t>Society and the Internet: How Networks of Information and Communication are Changing Our Lives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>. Oxford University Press.</w:t>
      </w:r>
    </w:p>
    <w:p w:rsidR="00173E04" w:rsidRPr="00173E04" w:rsidRDefault="00173E04" w:rsidP="00173E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World Bank (2021). </w:t>
      </w:r>
      <w:r w:rsidRPr="00173E04">
        <w:rPr>
          <w:rFonts w:ascii="Times New Roman" w:eastAsia="Times New Roman" w:hAnsi="Times New Roman" w:cs="Times New Roman"/>
          <w:i/>
          <w:iCs/>
          <w:sz w:val="24"/>
          <w:szCs w:val="24"/>
        </w:rPr>
        <w:t>World Development Report 2021: Data for Better Lives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3E04" w:rsidRPr="00173E04" w:rsidRDefault="00173E04" w:rsidP="00173E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IWS</w:t>
      </w:r>
      <w:r w:rsidRPr="00173E0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2: Policy Memo — Migration and Development (Kazakhstan + One Comparison)</w:t>
      </w:r>
    </w:p>
    <w:p w:rsidR="00173E04" w:rsidRPr="00173E04" w:rsidRDefault="00173E04" w:rsidP="00173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Deadline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>: Week 10</w:t>
      </w:r>
    </w:p>
    <w:p w:rsidR="00173E04" w:rsidRPr="00173E04" w:rsidRDefault="00173E04" w:rsidP="00173E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73E04">
        <w:rPr>
          <w:rFonts w:ascii="Times New Roman" w:eastAsia="Times New Roman" w:hAnsi="Times New Roman" w:cs="Times New Roman"/>
          <w:b/>
          <w:bCs/>
          <w:sz w:val="27"/>
          <w:szCs w:val="27"/>
        </w:rPr>
        <w:t>Task Description</w:t>
      </w:r>
    </w:p>
    <w:p w:rsidR="00173E04" w:rsidRPr="00173E04" w:rsidRDefault="00173E04" w:rsidP="00173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Prepare a </w:t>
      </w: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policy memo (1500–2000 words)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 for a decision-maker in Kazakhstan, analyzing the impact of migration on national development. Compare Kazakhstan with one other country (e.g., Russia, Germany, South Korea, or Canada).</w:t>
      </w:r>
    </w:p>
    <w:p w:rsidR="00173E04" w:rsidRPr="00173E04" w:rsidRDefault="00173E04" w:rsidP="00173E0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Audience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>: Ministry of Labor and Social Protection of Kazakhstan.</w:t>
      </w:r>
    </w:p>
    <w:p w:rsidR="00173E04" w:rsidRPr="00173E04" w:rsidRDefault="00173E04" w:rsidP="00173E0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Goal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>: Provide evidence-based policy recommendations on how Kazakhstan should manage migration flows to maximize developmental benefits.</w:t>
      </w:r>
    </w:p>
    <w:p w:rsidR="00173E04" w:rsidRPr="00173E04" w:rsidRDefault="00173E04" w:rsidP="00173E0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Consider </w:t>
      </w: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remittances, labor markets, brain drain/gain, integration challenges, and demographic balance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3E04" w:rsidRPr="00173E04" w:rsidRDefault="00173E04" w:rsidP="00173E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73E04">
        <w:rPr>
          <w:rFonts w:ascii="Times New Roman" w:eastAsia="Times New Roman" w:hAnsi="Times New Roman" w:cs="Times New Roman"/>
          <w:b/>
          <w:bCs/>
          <w:sz w:val="27"/>
          <w:szCs w:val="27"/>
        </w:rPr>
        <w:t>Structure</w:t>
      </w:r>
    </w:p>
    <w:p w:rsidR="00173E04" w:rsidRPr="00173E04" w:rsidRDefault="00173E04" w:rsidP="00173E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Executive Summary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 (one page — key findings + recommendations).</w:t>
      </w:r>
    </w:p>
    <w:p w:rsidR="00173E04" w:rsidRPr="00173E04" w:rsidRDefault="00173E04" w:rsidP="00173E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Background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 (migration trends in Kazakhstan and comparison country).</w:t>
      </w:r>
    </w:p>
    <w:p w:rsidR="00173E04" w:rsidRPr="00173E04" w:rsidRDefault="00173E04" w:rsidP="00173E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Analysis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 (benefits, challenges, policy gaps).</w:t>
      </w:r>
    </w:p>
    <w:p w:rsidR="00173E04" w:rsidRPr="00173E04" w:rsidRDefault="00173E04" w:rsidP="00173E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Recommendations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 (3–4 clear and feasible proposals).</w:t>
      </w:r>
    </w:p>
    <w:p w:rsidR="00173E04" w:rsidRPr="00173E04" w:rsidRDefault="00173E04" w:rsidP="00173E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Conclusion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3E04" w:rsidRPr="00173E04" w:rsidRDefault="00173E04" w:rsidP="00173E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73E04">
        <w:rPr>
          <w:rFonts w:ascii="Times New Roman" w:eastAsia="Times New Roman" w:hAnsi="Times New Roman" w:cs="Times New Roman"/>
          <w:b/>
          <w:bCs/>
          <w:sz w:val="27"/>
          <w:szCs w:val="27"/>
        </w:rPr>
        <w:t>Assessment Criteria</w:t>
      </w:r>
    </w:p>
    <w:p w:rsidR="00173E04" w:rsidRPr="00173E04" w:rsidRDefault="00173E04" w:rsidP="00173E0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>Clarity and precision of policy writing.</w:t>
      </w:r>
    </w:p>
    <w:p w:rsidR="00173E04" w:rsidRPr="00173E04" w:rsidRDefault="00173E04" w:rsidP="00173E0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>Use of empirical evidence and statistics.</w:t>
      </w:r>
    </w:p>
    <w:p w:rsidR="00173E04" w:rsidRPr="00173E04" w:rsidRDefault="00173E04" w:rsidP="00173E0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>Comparative insight.</w:t>
      </w:r>
    </w:p>
    <w:p w:rsidR="00173E04" w:rsidRPr="00173E04" w:rsidRDefault="00173E04" w:rsidP="00173E0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>Feasible and innovative recommendations.</w:t>
      </w:r>
    </w:p>
    <w:p w:rsidR="00173E04" w:rsidRPr="00173E04" w:rsidRDefault="00173E04" w:rsidP="00173E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73E04">
        <w:rPr>
          <w:rFonts w:ascii="Times New Roman" w:eastAsia="Times New Roman" w:hAnsi="Times New Roman" w:cs="Times New Roman"/>
          <w:b/>
          <w:bCs/>
          <w:sz w:val="27"/>
          <w:szCs w:val="27"/>
        </w:rPr>
        <w:t>Recommended Readings</w:t>
      </w:r>
    </w:p>
    <w:p w:rsidR="00173E04" w:rsidRPr="00173E04" w:rsidRDefault="00173E04" w:rsidP="00173E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IOM (International Organization for Migration). (2020). </w:t>
      </w:r>
      <w:r w:rsidRPr="00173E04">
        <w:rPr>
          <w:rFonts w:ascii="Times New Roman" w:eastAsia="Times New Roman" w:hAnsi="Times New Roman" w:cs="Times New Roman"/>
          <w:i/>
          <w:iCs/>
          <w:sz w:val="24"/>
          <w:szCs w:val="24"/>
        </w:rPr>
        <w:t>World Migration Report 2020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>. Geneva: IOM.</w:t>
      </w:r>
    </w:p>
    <w:p w:rsidR="00173E04" w:rsidRPr="00173E04" w:rsidRDefault="00173E04" w:rsidP="00173E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de Haas, H., Castles, S., &amp; Miller, M. (2020). </w:t>
      </w:r>
      <w:r w:rsidRPr="00173E04">
        <w:rPr>
          <w:rFonts w:ascii="Times New Roman" w:eastAsia="Times New Roman" w:hAnsi="Times New Roman" w:cs="Times New Roman"/>
          <w:i/>
          <w:iCs/>
          <w:sz w:val="24"/>
          <w:szCs w:val="24"/>
        </w:rPr>
        <w:t>The Age of Migration: International Population Movements in the Modern World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>. Red Globe Press.</w:t>
      </w:r>
    </w:p>
    <w:p w:rsidR="00173E04" w:rsidRPr="00173E04" w:rsidRDefault="00173E04" w:rsidP="00173E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OECD (2022). </w:t>
      </w:r>
      <w:r w:rsidRPr="00173E04">
        <w:rPr>
          <w:rFonts w:ascii="Times New Roman" w:eastAsia="Times New Roman" w:hAnsi="Times New Roman" w:cs="Times New Roman"/>
          <w:i/>
          <w:iCs/>
          <w:sz w:val="24"/>
          <w:szCs w:val="24"/>
        </w:rPr>
        <w:t>Migration Outlook 2022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3E04" w:rsidRPr="00173E04" w:rsidRDefault="00173E04" w:rsidP="00173E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Laruelle, M. (2007). </w:t>
      </w:r>
      <w:r w:rsidRPr="00173E04">
        <w:rPr>
          <w:rFonts w:ascii="Times New Roman" w:eastAsia="Times New Roman" w:hAnsi="Times New Roman" w:cs="Times New Roman"/>
          <w:i/>
          <w:iCs/>
          <w:sz w:val="24"/>
          <w:szCs w:val="24"/>
        </w:rPr>
        <w:t>Central Asian Labor Migrants in Russia: The Rise of Migrant Enclaves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>. Central Asia–Caucasus Institute.</w:t>
      </w:r>
    </w:p>
    <w:p w:rsidR="00173E04" w:rsidRPr="00173E04" w:rsidRDefault="00173E04" w:rsidP="00173E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Sadovskaya, E. (2014). </w:t>
      </w:r>
      <w:r w:rsidRPr="00173E04">
        <w:rPr>
          <w:rFonts w:ascii="Times New Roman" w:eastAsia="Times New Roman" w:hAnsi="Times New Roman" w:cs="Times New Roman"/>
          <w:i/>
          <w:iCs/>
          <w:sz w:val="24"/>
          <w:szCs w:val="24"/>
        </w:rPr>
        <w:t>Kazakhstan: Migration Trends and Policy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>. Almaty: Friedrich Ebert Stiftung.</w:t>
      </w:r>
    </w:p>
    <w:p w:rsidR="00173E04" w:rsidRPr="00173E04" w:rsidRDefault="00173E04" w:rsidP="00173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3E04" w:rsidRPr="00173E04" w:rsidRDefault="00173E04" w:rsidP="00173E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IWS</w:t>
      </w:r>
      <w:bookmarkStart w:id="0" w:name="_GoBack"/>
      <w:bookmarkEnd w:id="0"/>
      <w:r w:rsidRPr="00173E0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3: Creative Project — Infographic / Padlet / Canva on Population Futures 2050</w:t>
      </w:r>
    </w:p>
    <w:p w:rsidR="00173E04" w:rsidRPr="00173E04" w:rsidRDefault="00173E04" w:rsidP="00173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Deadline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>: Week 15</w:t>
      </w:r>
    </w:p>
    <w:p w:rsidR="00173E04" w:rsidRPr="00173E04" w:rsidRDefault="00173E04" w:rsidP="00173E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73E04">
        <w:rPr>
          <w:rFonts w:ascii="Times New Roman" w:eastAsia="Times New Roman" w:hAnsi="Times New Roman" w:cs="Times New Roman"/>
          <w:b/>
          <w:bCs/>
          <w:sz w:val="27"/>
          <w:szCs w:val="27"/>
        </w:rPr>
        <w:t>Task Description</w:t>
      </w:r>
    </w:p>
    <w:p w:rsidR="00173E04" w:rsidRPr="00173E04" w:rsidRDefault="00173E04" w:rsidP="00173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Develop a </w:t>
      </w: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creative visual project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 that presents one possible global or regional demographic scenario for 2050. You may choose to create:</w:t>
      </w:r>
    </w:p>
    <w:p w:rsidR="00173E04" w:rsidRPr="00173E04" w:rsidRDefault="00173E04" w:rsidP="00173E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Canva infographic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 (static or interactive).</w:t>
      </w:r>
    </w:p>
    <w:p w:rsidR="00173E04" w:rsidRPr="00173E04" w:rsidRDefault="00173E04" w:rsidP="00173E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Padlet board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 (collecting projections, visuals, sources).</w:t>
      </w:r>
    </w:p>
    <w:p w:rsidR="00173E04" w:rsidRPr="00173E04" w:rsidRDefault="00173E04" w:rsidP="00173E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poster presentation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 (designed for policy/academic conference).</w:t>
      </w:r>
    </w:p>
    <w:p w:rsidR="00173E04" w:rsidRPr="00173E04" w:rsidRDefault="00173E04" w:rsidP="00173E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>Your project should highlight:</w:t>
      </w:r>
    </w:p>
    <w:p w:rsidR="00173E04" w:rsidRPr="00173E04" w:rsidRDefault="00173E04" w:rsidP="00173E0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>Key population trends (fertility, mortality, migration, aging).</w:t>
      </w:r>
    </w:p>
    <w:p w:rsidR="00173E04" w:rsidRPr="00173E04" w:rsidRDefault="00173E04" w:rsidP="00173E0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Implications for </w:t>
      </w: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sustainability, health, technology, inequality, conflict, or environment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3E04" w:rsidRPr="00173E04" w:rsidRDefault="00173E04" w:rsidP="00173E0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>Comparative perspective: include at least two regions (e.g., Central Asia + Sub-Saharan Africa).</w:t>
      </w:r>
    </w:p>
    <w:p w:rsidR="00173E04" w:rsidRPr="00173E04" w:rsidRDefault="00173E04" w:rsidP="00173E0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>Evidence-based projections (UN, World Bank, IMF).</w:t>
      </w:r>
    </w:p>
    <w:p w:rsidR="00173E04" w:rsidRPr="00173E04" w:rsidRDefault="00173E04" w:rsidP="00173E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73E04">
        <w:rPr>
          <w:rFonts w:ascii="Times New Roman" w:eastAsia="Times New Roman" w:hAnsi="Times New Roman" w:cs="Times New Roman"/>
          <w:b/>
          <w:bCs/>
          <w:sz w:val="27"/>
          <w:szCs w:val="27"/>
        </w:rPr>
        <w:t>Deliverables</w:t>
      </w:r>
    </w:p>
    <w:p w:rsidR="00173E04" w:rsidRPr="00173E04" w:rsidRDefault="00173E04" w:rsidP="00173E0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>Visual output (Infographic/Padlet/Poster).</w:t>
      </w:r>
    </w:p>
    <w:p w:rsidR="00173E04" w:rsidRPr="00173E04" w:rsidRDefault="00173E04" w:rsidP="00173E0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800-word </w:t>
      </w:r>
      <w:r w:rsidRPr="00173E04">
        <w:rPr>
          <w:rFonts w:ascii="Times New Roman" w:eastAsia="Times New Roman" w:hAnsi="Times New Roman" w:cs="Times New Roman"/>
          <w:b/>
          <w:bCs/>
          <w:sz w:val="24"/>
          <w:szCs w:val="24"/>
        </w:rPr>
        <w:t>accompanying commentary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 explaining sources, methodology, and interpretation.</w:t>
      </w:r>
    </w:p>
    <w:p w:rsidR="00173E04" w:rsidRPr="00173E04" w:rsidRDefault="00173E04" w:rsidP="00173E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73E04">
        <w:rPr>
          <w:rFonts w:ascii="Times New Roman" w:eastAsia="Times New Roman" w:hAnsi="Times New Roman" w:cs="Times New Roman"/>
          <w:b/>
          <w:bCs/>
          <w:sz w:val="27"/>
          <w:szCs w:val="27"/>
        </w:rPr>
        <w:t>Assessment Criteria</w:t>
      </w:r>
    </w:p>
    <w:p w:rsidR="00173E04" w:rsidRPr="00173E04" w:rsidRDefault="00173E04" w:rsidP="00173E0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>Creativity and clarity of visualization.</w:t>
      </w:r>
    </w:p>
    <w:p w:rsidR="00173E04" w:rsidRPr="00173E04" w:rsidRDefault="00173E04" w:rsidP="00173E0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>Quality of data and sources used.</w:t>
      </w:r>
    </w:p>
    <w:p w:rsidR="00173E04" w:rsidRPr="00173E04" w:rsidRDefault="00173E04" w:rsidP="00173E0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>Ability to communicate complex demographic issues to both academic and policy audiences.</w:t>
      </w:r>
    </w:p>
    <w:p w:rsidR="00173E04" w:rsidRPr="00173E04" w:rsidRDefault="00173E04" w:rsidP="00173E0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>Integration of theoretical and practical perspectives.</w:t>
      </w:r>
    </w:p>
    <w:p w:rsidR="00173E04" w:rsidRPr="00173E04" w:rsidRDefault="00173E04" w:rsidP="00173E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73E04">
        <w:rPr>
          <w:rFonts w:ascii="Times New Roman" w:eastAsia="Times New Roman" w:hAnsi="Times New Roman" w:cs="Times New Roman"/>
          <w:b/>
          <w:bCs/>
          <w:sz w:val="27"/>
          <w:szCs w:val="27"/>
        </w:rPr>
        <w:t>Recommended Readings</w:t>
      </w:r>
    </w:p>
    <w:p w:rsidR="00173E04" w:rsidRPr="00173E04" w:rsidRDefault="00173E04" w:rsidP="00173E0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UN DESA. (2022). </w:t>
      </w:r>
      <w:r w:rsidRPr="00173E04">
        <w:rPr>
          <w:rFonts w:ascii="Times New Roman" w:eastAsia="Times New Roman" w:hAnsi="Times New Roman" w:cs="Times New Roman"/>
          <w:i/>
          <w:iCs/>
          <w:sz w:val="24"/>
          <w:szCs w:val="24"/>
        </w:rPr>
        <w:t>World Population Prospects 2022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>. United Nations.</w:t>
      </w:r>
    </w:p>
    <w:p w:rsidR="00173E04" w:rsidRPr="00173E04" w:rsidRDefault="00173E04" w:rsidP="00173E0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Lee, R., &amp; Mason, A. (2014). </w:t>
      </w:r>
      <w:r w:rsidRPr="00173E04">
        <w:rPr>
          <w:rFonts w:ascii="Times New Roman" w:eastAsia="Times New Roman" w:hAnsi="Times New Roman" w:cs="Times New Roman"/>
          <w:i/>
          <w:iCs/>
          <w:sz w:val="24"/>
          <w:szCs w:val="24"/>
        </w:rPr>
        <w:t>Population Aging and the Generational Economy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>. Edward Elgar.</w:t>
      </w:r>
    </w:p>
    <w:p w:rsidR="00173E04" w:rsidRPr="00173E04" w:rsidRDefault="00173E04" w:rsidP="00173E0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Harper, S. (2019). </w:t>
      </w:r>
      <w:r w:rsidRPr="00173E04">
        <w:rPr>
          <w:rFonts w:ascii="Times New Roman" w:eastAsia="Times New Roman" w:hAnsi="Times New Roman" w:cs="Times New Roman"/>
          <w:i/>
          <w:iCs/>
          <w:sz w:val="24"/>
          <w:szCs w:val="24"/>
        </w:rPr>
        <w:t>How Population Change Will Transform Our World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>. Oxford University Press.</w:t>
      </w:r>
    </w:p>
    <w:p w:rsidR="00173E04" w:rsidRPr="00173E04" w:rsidRDefault="00173E04" w:rsidP="00173E0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Cleland, J., &amp; Machiyama, K. (2017). “Population Growth and Sustainable Development.” </w:t>
      </w:r>
      <w:r w:rsidRPr="00173E04">
        <w:rPr>
          <w:rFonts w:ascii="Times New Roman" w:eastAsia="Times New Roman" w:hAnsi="Times New Roman" w:cs="Times New Roman"/>
          <w:i/>
          <w:iCs/>
          <w:sz w:val="24"/>
          <w:szCs w:val="24"/>
        </w:rPr>
        <w:t>Population and Development Review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3E04" w:rsidRPr="00173E04" w:rsidRDefault="00173E04" w:rsidP="00173E0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3E04">
        <w:rPr>
          <w:rFonts w:ascii="Times New Roman" w:eastAsia="Times New Roman" w:hAnsi="Times New Roman" w:cs="Times New Roman"/>
          <w:sz w:val="24"/>
          <w:szCs w:val="24"/>
        </w:rPr>
        <w:t xml:space="preserve">World Bank (2020). </w:t>
      </w:r>
      <w:r w:rsidRPr="00173E04">
        <w:rPr>
          <w:rFonts w:ascii="Times New Roman" w:eastAsia="Times New Roman" w:hAnsi="Times New Roman" w:cs="Times New Roman"/>
          <w:i/>
          <w:iCs/>
          <w:sz w:val="24"/>
          <w:szCs w:val="24"/>
        </w:rPr>
        <w:t>Global Megatrends: Implications for Policy and Development</w:t>
      </w:r>
      <w:r w:rsidRPr="00173E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4C91" w:rsidRDefault="00173E04"/>
    <w:sectPr w:rsidR="00724C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7256E"/>
    <w:multiLevelType w:val="multilevel"/>
    <w:tmpl w:val="6398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073DFC"/>
    <w:multiLevelType w:val="multilevel"/>
    <w:tmpl w:val="7BAE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344FD2"/>
    <w:multiLevelType w:val="multilevel"/>
    <w:tmpl w:val="D1AA2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2C18F0"/>
    <w:multiLevelType w:val="multilevel"/>
    <w:tmpl w:val="E08A9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045CE"/>
    <w:multiLevelType w:val="multilevel"/>
    <w:tmpl w:val="62EC6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075783"/>
    <w:multiLevelType w:val="multilevel"/>
    <w:tmpl w:val="E5908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DF6FA0"/>
    <w:multiLevelType w:val="multilevel"/>
    <w:tmpl w:val="2092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FE3C6D"/>
    <w:multiLevelType w:val="multilevel"/>
    <w:tmpl w:val="AA8A0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C20093"/>
    <w:multiLevelType w:val="multilevel"/>
    <w:tmpl w:val="4C58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C31DCB"/>
    <w:multiLevelType w:val="multilevel"/>
    <w:tmpl w:val="40B26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7757D8"/>
    <w:multiLevelType w:val="multilevel"/>
    <w:tmpl w:val="A8FA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CB5237"/>
    <w:multiLevelType w:val="multilevel"/>
    <w:tmpl w:val="BD16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587126"/>
    <w:multiLevelType w:val="multilevel"/>
    <w:tmpl w:val="0316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8"/>
  </w:num>
  <w:num w:numId="5">
    <w:abstractNumId w:val="11"/>
  </w:num>
  <w:num w:numId="6">
    <w:abstractNumId w:val="2"/>
  </w:num>
  <w:num w:numId="7">
    <w:abstractNumId w:val="1"/>
  </w:num>
  <w:num w:numId="8">
    <w:abstractNumId w:val="0"/>
  </w:num>
  <w:num w:numId="9">
    <w:abstractNumId w:val="12"/>
  </w:num>
  <w:num w:numId="10">
    <w:abstractNumId w:val="4"/>
  </w:num>
  <w:num w:numId="11">
    <w:abstractNumId w:val="5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E04"/>
    <w:rsid w:val="00173E04"/>
    <w:rsid w:val="00C67485"/>
    <w:rsid w:val="00EB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D5232"/>
  <w15:chartTrackingRefBased/>
  <w15:docId w15:val="{C4E39EFB-02F8-431F-AB5C-3C641879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73E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73E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73E0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73E0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173E0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73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73E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54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734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Ulzhan Tuleshova</dc:creator>
  <cp:keywords/>
  <dc:description/>
  <cp:lastModifiedBy>Ulzhan Tuleshova</cp:lastModifiedBy>
  <cp:revision>1</cp:revision>
  <dcterms:created xsi:type="dcterms:W3CDTF">2025-09-08T06:03:00Z</dcterms:created>
  <dcterms:modified xsi:type="dcterms:W3CDTF">2025-09-08T06:04:00Z</dcterms:modified>
</cp:coreProperties>
</file>